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5C378" w14:textId="2B3C76B7" w:rsidR="0063115B" w:rsidRPr="00383565" w:rsidRDefault="00B75B55" w:rsidP="0063115B">
      <w:pPr>
        <w:tabs>
          <w:tab w:val="num" w:pos="786"/>
        </w:tabs>
        <w:spacing w:after="0" w:afterAutospacing="0"/>
        <w:jc w:val="left"/>
        <w:rPr>
          <w:rFonts w:ascii="Tw Cen MT" w:hAnsi="Tw Cen MT"/>
          <w:b/>
          <w:color w:val="5B9BD5" w:themeColor="accent1"/>
          <w:sz w:val="24"/>
        </w:rPr>
      </w:pPr>
      <w:r>
        <w:rPr>
          <w:rFonts w:ascii="Tw Cen MT" w:hAnsi="Tw Cen MT"/>
          <w:b/>
          <w:color w:val="5B9BD5" w:themeColor="accent1"/>
          <w:sz w:val="24"/>
        </w:rPr>
        <w:t xml:space="preserve">Appendix 13. </w:t>
      </w:r>
      <w:r w:rsidR="0063115B" w:rsidRPr="00383565">
        <w:rPr>
          <w:rFonts w:ascii="Tw Cen MT" w:hAnsi="Tw Cen MT"/>
          <w:b/>
          <w:color w:val="5B9BD5" w:themeColor="accent1"/>
          <w:sz w:val="24"/>
        </w:rPr>
        <w:t>Methods for household water treatment</w:t>
      </w:r>
    </w:p>
    <w:tbl>
      <w:tblPr>
        <w:tblStyle w:val="PlainTable5"/>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86"/>
        <w:gridCol w:w="1621"/>
        <w:gridCol w:w="1780"/>
        <w:gridCol w:w="1785"/>
        <w:gridCol w:w="1785"/>
        <w:gridCol w:w="1785"/>
        <w:gridCol w:w="1785"/>
        <w:gridCol w:w="1621"/>
      </w:tblGrid>
      <w:tr w:rsidR="00652A58" w:rsidRPr="006646DE" w14:paraId="1BA15E3A" w14:textId="77777777" w:rsidTr="008133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0" w:type="pct"/>
            <w:vAlign w:val="center"/>
          </w:tcPr>
          <w:p w14:paraId="777C8647" w14:textId="77777777" w:rsidR="00652A58" w:rsidRPr="006646DE" w:rsidRDefault="00652A58" w:rsidP="00813318">
            <w:pPr>
              <w:rPr>
                <w:rFonts w:ascii="Tw Cen MT" w:hAnsi="Tw Cen MT" w:cs="Arial"/>
                <w:sz w:val="18"/>
                <w:szCs w:val="18"/>
              </w:rPr>
            </w:pPr>
          </w:p>
        </w:tc>
        <w:tc>
          <w:tcPr>
            <w:tcW w:w="581" w:type="pct"/>
            <w:vAlign w:val="center"/>
            <w:hideMark/>
          </w:tcPr>
          <w:p w14:paraId="7F383718" w14:textId="77777777" w:rsidR="00652A58" w:rsidRPr="006646DE" w:rsidRDefault="00652A58" w:rsidP="00813318">
            <w:pPr>
              <w:jc w:val="center"/>
              <w:cnfStyle w:val="100000000000" w:firstRow="1" w:lastRow="0" w:firstColumn="0" w:lastColumn="0" w:oddVBand="0" w:evenVBand="0" w:oddHBand="0" w:evenHBand="0" w:firstRowFirstColumn="0" w:firstRowLastColumn="0" w:lastRowFirstColumn="0" w:lastRowLastColumn="0"/>
              <w:rPr>
                <w:rFonts w:ascii="Tw Cen MT" w:hAnsi="Tw Cen MT" w:cs="Arial"/>
                <w:b/>
                <w:bCs/>
                <w:i w:val="0"/>
                <w:sz w:val="18"/>
                <w:szCs w:val="18"/>
              </w:rPr>
            </w:pPr>
            <w:r w:rsidRPr="006646DE">
              <w:rPr>
                <w:rFonts w:ascii="Tw Cen MT" w:hAnsi="Tw Cen MT" w:cs="Arial"/>
                <w:b/>
                <w:i w:val="0"/>
                <w:sz w:val="18"/>
                <w:szCs w:val="18"/>
              </w:rPr>
              <w:t>Thermal treatment</w:t>
            </w:r>
          </w:p>
          <w:p w14:paraId="2AA683BD" w14:textId="77777777" w:rsidR="00652A58" w:rsidRPr="006646DE" w:rsidRDefault="00652A58" w:rsidP="00813318">
            <w:pPr>
              <w:jc w:val="center"/>
              <w:cnfStyle w:val="100000000000" w:firstRow="1" w:lastRow="0" w:firstColumn="0" w:lastColumn="0" w:oddVBand="0" w:evenVBand="0" w:oddHBand="0" w:evenHBand="0" w:firstRowFirstColumn="0" w:firstRowLastColumn="0" w:lastRowFirstColumn="0" w:lastRowLastColumn="0"/>
              <w:rPr>
                <w:rFonts w:ascii="Tw Cen MT" w:hAnsi="Tw Cen MT" w:cs="Arial"/>
                <w:b/>
                <w:i w:val="0"/>
                <w:sz w:val="18"/>
                <w:szCs w:val="18"/>
              </w:rPr>
            </w:pPr>
            <w:r w:rsidRPr="006646DE">
              <w:rPr>
                <w:rFonts w:ascii="Tw Cen MT" w:hAnsi="Tw Cen MT" w:cs="Arial"/>
                <w:b/>
                <w:i w:val="0"/>
                <w:sz w:val="18"/>
                <w:szCs w:val="18"/>
              </w:rPr>
              <w:t>(Boiling)</w:t>
            </w:r>
          </w:p>
        </w:tc>
        <w:tc>
          <w:tcPr>
            <w:tcW w:w="638" w:type="pct"/>
            <w:vAlign w:val="center"/>
            <w:hideMark/>
          </w:tcPr>
          <w:p w14:paraId="5118B26A" w14:textId="77777777" w:rsidR="00652A58" w:rsidRPr="006646DE" w:rsidRDefault="00652A58" w:rsidP="00813318">
            <w:pPr>
              <w:jc w:val="center"/>
              <w:cnfStyle w:val="100000000000" w:firstRow="1" w:lastRow="0" w:firstColumn="0" w:lastColumn="0" w:oddVBand="0" w:evenVBand="0" w:oddHBand="0" w:evenHBand="0" w:firstRowFirstColumn="0" w:firstRowLastColumn="0" w:lastRowFirstColumn="0" w:lastRowLastColumn="0"/>
              <w:rPr>
                <w:rFonts w:ascii="Tw Cen MT" w:hAnsi="Tw Cen MT" w:cs="Arial"/>
                <w:b/>
                <w:i w:val="0"/>
                <w:sz w:val="18"/>
                <w:szCs w:val="18"/>
              </w:rPr>
            </w:pPr>
            <w:r w:rsidRPr="006646DE">
              <w:rPr>
                <w:rFonts w:ascii="Tw Cen MT" w:hAnsi="Tw Cen MT" w:cs="Arial"/>
                <w:b/>
                <w:i w:val="0"/>
                <w:sz w:val="18"/>
                <w:szCs w:val="18"/>
              </w:rPr>
              <w:t>Chemical disinfection with free chlorine</w:t>
            </w:r>
          </w:p>
        </w:tc>
        <w:tc>
          <w:tcPr>
            <w:tcW w:w="640" w:type="pct"/>
            <w:vAlign w:val="center"/>
          </w:tcPr>
          <w:p w14:paraId="3B8174A9" w14:textId="77777777" w:rsidR="00652A58" w:rsidRPr="006646DE" w:rsidRDefault="00652A58" w:rsidP="00813318">
            <w:pPr>
              <w:jc w:val="center"/>
              <w:cnfStyle w:val="100000000000" w:firstRow="1" w:lastRow="0" w:firstColumn="0" w:lastColumn="0" w:oddVBand="0" w:evenVBand="0" w:oddHBand="0" w:evenHBand="0" w:firstRowFirstColumn="0" w:firstRowLastColumn="0" w:lastRowFirstColumn="0" w:lastRowLastColumn="0"/>
              <w:rPr>
                <w:rFonts w:ascii="Tw Cen MT" w:hAnsi="Tw Cen MT" w:cs="Arial"/>
                <w:b/>
                <w:i w:val="0"/>
                <w:sz w:val="18"/>
                <w:szCs w:val="18"/>
              </w:rPr>
            </w:pPr>
            <w:r w:rsidRPr="006646DE">
              <w:rPr>
                <w:rFonts w:ascii="Tw Cen MT" w:hAnsi="Tw Cen MT" w:cs="Arial"/>
                <w:b/>
                <w:i w:val="0"/>
                <w:sz w:val="18"/>
                <w:szCs w:val="18"/>
              </w:rPr>
              <w:t>Chemical coagulation–filtration and chlorine disinfection</w:t>
            </w:r>
          </w:p>
        </w:tc>
        <w:tc>
          <w:tcPr>
            <w:tcW w:w="640" w:type="pct"/>
            <w:vAlign w:val="center"/>
          </w:tcPr>
          <w:p w14:paraId="70653D4D" w14:textId="77777777" w:rsidR="00652A58" w:rsidRPr="006646DE" w:rsidRDefault="00652A58" w:rsidP="00813318">
            <w:pPr>
              <w:jc w:val="center"/>
              <w:cnfStyle w:val="100000000000" w:firstRow="1" w:lastRow="0" w:firstColumn="0" w:lastColumn="0" w:oddVBand="0" w:evenVBand="0" w:oddHBand="0" w:evenHBand="0" w:firstRowFirstColumn="0" w:firstRowLastColumn="0" w:lastRowFirstColumn="0" w:lastRowLastColumn="0"/>
              <w:rPr>
                <w:rFonts w:ascii="Tw Cen MT" w:hAnsi="Tw Cen MT" w:cs="Arial"/>
                <w:b/>
                <w:bCs/>
                <w:i w:val="0"/>
                <w:color w:val="FFFFFF" w:themeColor="background1"/>
                <w:sz w:val="18"/>
                <w:szCs w:val="18"/>
              </w:rPr>
            </w:pPr>
            <w:r w:rsidRPr="006646DE">
              <w:rPr>
                <w:rFonts w:ascii="Tw Cen MT" w:hAnsi="Tw Cen MT" w:cs="Arial"/>
                <w:b/>
                <w:i w:val="0"/>
                <w:sz w:val="18"/>
                <w:szCs w:val="18"/>
              </w:rPr>
              <w:t>Solar disinfection with UV + heat</w:t>
            </w:r>
          </w:p>
          <w:p w14:paraId="76ED9EDE" w14:textId="77777777" w:rsidR="00652A58" w:rsidRPr="006646DE" w:rsidRDefault="00652A58" w:rsidP="00813318">
            <w:pPr>
              <w:jc w:val="center"/>
              <w:cnfStyle w:val="100000000000" w:firstRow="1" w:lastRow="0" w:firstColumn="0" w:lastColumn="0" w:oddVBand="0" w:evenVBand="0" w:oddHBand="0" w:evenHBand="0" w:firstRowFirstColumn="0" w:firstRowLastColumn="0" w:lastRowFirstColumn="0" w:lastRowLastColumn="0"/>
              <w:rPr>
                <w:rFonts w:ascii="Tw Cen MT" w:hAnsi="Tw Cen MT" w:cs="Arial"/>
                <w:b/>
                <w:i w:val="0"/>
                <w:sz w:val="18"/>
                <w:szCs w:val="18"/>
              </w:rPr>
            </w:pPr>
            <w:r w:rsidRPr="006646DE">
              <w:rPr>
                <w:rFonts w:ascii="Tw Cen MT" w:hAnsi="Tw Cen MT" w:cs="Arial"/>
                <w:b/>
                <w:i w:val="0"/>
                <w:sz w:val="18"/>
                <w:szCs w:val="18"/>
              </w:rPr>
              <w:t>(SODIS system)</w:t>
            </w:r>
          </w:p>
        </w:tc>
        <w:tc>
          <w:tcPr>
            <w:tcW w:w="640" w:type="pct"/>
            <w:vAlign w:val="center"/>
          </w:tcPr>
          <w:p w14:paraId="14F49A12" w14:textId="77777777" w:rsidR="00652A58" w:rsidRPr="006646DE" w:rsidRDefault="00652A58" w:rsidP="00813318">
            <w:pPr>
              <w:jc w:val="center"/>
              <w:cnfStyle w:val="100000000000" w:firstRow="1" w:lastRow="0" w:firstColumn="0" w:lastColumn="0" w:oddVBand="0" w:evenVBand="0" w:oddHBand="0" w:evenHBand="0" w:firstRowFirstColumn="0" w:firstRowLastColumn="0" w:lastRowFirstColumn="0" w:lastRowLastColumn="0"/>
              <w:rPr>
                <w:rFonts w:ascii="Tw Cen MT" w:hAnsi="Tw Cen MT" w:cs="Arial"/>
                <w:b/>
                <w:i w:val="0"/>
                <w:sz w:val="18"/>
                <w:szCs w:val="18"/>
              </w:rPr>
            </w:pPr>
            <w:r w:rsidRPr="006646DE">
              <w:rPr>
                <w:rFonts w:ascii="Tw Cen MT" w:hAnsi="Tw Cen MT" w:cs="Arial"/>
                <w:b/>
                <w:i w:val="0"/>
                <w:sz w:val="18"/>
                <w:szCs w:val="18"/>
              </w:rPr>
              <w:t>UV disinfection with lamps</w:t>
            </w:r>
          </w:p>
        </w:tc>
        <w:tc>
          <w:tcPr>
            <w:tcW w:w="640" w:type="pct"/>
            <w:vAlign w:val="center"/>
          </w:tcPr>
          <w:p w14:paraId="06C75BEA" w14:textId="77777777" w:rsidR="00652A58" w:rsidRPr="006646DE" w:rsidRDefault="00652A58" w:rsidP="00813318">
            <w:pPr>
              <w:jc w:val="center"/>
              <w:cnfStyle w:val="100000000000" w:firstRow="1" w:lastRow="0" w:firstColumn="0" w:lastColumn="0" w:oddVBand="0" w:evenVBand="0" w:oddHBand="0" w:evenHBand="0" w:firstRowFirstColumn="0" w:firstRowLastColumn="0" w:lastRowFirstColumn="0" w:lastRowLastColumn="0"/>
              <w:rPr>
                <w:rFonts w:ascii="Tw Cen MT" w:hAnsi="Tw Cen MT" w:cs="Arial"/>
                <w:b/>
                <w:i w:val="0"/>
                <w:color w:val="FF0000"/>
                <w:sz w:val="18"/>
                <w:szCs w:val="18"/>
              </w:rPr>
            </w:pPr>
            <w:r w:rsidRPr="006646DE">
              <w:rPr>
                <w:rFonts w:ascii="Tw Cen MT" w:hAnsi="Tw Cen MT" w:cs="Arial"/>
                <w:b/>
                <w:i w:val="0"/>
                <w:sz w:val="18"/>
                <w:szCs w:val="18"/>
                <w:lang w:eastAsia="en-GB"/>
              </w:rPr>
              <w:t>Membrane, porous ceramic or composite filters</w:t>
            </w:r>
          </w:p>
        </w:tc>
        <w:tc>
          <w:tcPr>
            <w:tcW w:w="581" w:type="pct"/>
            <w:vAlign w:val="center"/>
          </w:tcPr>
          <w:p w14:paraId="291DDC67" w14:textId="77777777" w:rsidR="00652A58" w:rsidRPr="00612B9A" w:rsidRDefault="00652A58" w:rsidP="00813318">
            <w:pPr>
              <w:jc w:val="center"/>
              <w:cnfStyle w:val="100000000000" w:firstRow="1" w:lastRow="0" w:firstColumn="0" w:lastColumn="0" w:oddVBand="0" w:evenVBand="0" w:oddHBand="0" w:evenHBand="0" w:firstRowFirstColumn="0" w:firstRowLastColumn="0" w:lastRowFirstColumn="0" w:lastRowLastColumn="0"/>
              <w:rPr>
                <w:rFonts w:ascii="Tw Cen MT" w:hAnsi="Tw Cen MT" w:cs="Arial"/>
                <w:b/>
                <w:i w:val="0"/>
                <w:sz w:val="18"/>
                <w:szCs w:val="18"/>
              </w:rPr>
            </w:pPr>
            <w:r w:rsidRPr="00612B9A">
              <w:rPr>
                <w:rFonts w:ascii="Tw Cen MT" w:hAnsi="Tw Cen MT" w:cs="Arial"/>
                <w:b/>
                <w:i w:val="0"/>
                <w:sz w:val="18"/>
                <w:szCs w:val="18"/>
                <w:lang w:eastAsia="en-GB"/>
              </w:rPr>
              <w:t>Granular media filters</w:t>
            </w:r>
            <w:r w:rsidRPr="00612B9A">
              <w:rPr>
                <w:rFonts w:ascii="Tw Cen MT" w:hAnsi="Tw Cen MT" w:cs="Arial"/>
                <w:b/>
                <w:i w:val="0"/>
                <w:sz w:val="18"/>
                <w:szCs w:val="18"/>
              </w:rPr>
              <w:t xml:space="preserve"> </w:t>
            </w:r>
          </w:p>
          <w:p w14:paraId="799D1E53" w14:textId="77777777" w:rsidR="00652A58" w:rsidRPr="006646DE" w:rsidRDefault="00652A58" w:rsidP="00813318">
            <w:pPr>
              <w:jc w:val="center"/>
              <w:cnfStyle w:val="100000000000" w:firstRow="1" w:lastRow="0" w:firstColumn="0" w:lastColumn="0" w:oddVBand="0" w:evenVBand="0" w:oddHBand="0" w:evenHBand="0" w:firstRowFirstColumn="0" w:firstRowLastColumn="0" w:lastRowFirstColumn="0" w:lastRowLastColumn="0"/>
              <w:rPr>
                <w:rFonts w:ascii="Tw Cen MT" w:hAnsi="Tw Cen MT" w:cs="Arial"/>
                <w:b/>
                <w:i w:val="0"/>
                <w:color w:val="FF0000"/>
                <w:sz w:val="18"/>
                <w:szCs w:val="18"/>
              </w:rPr>
            </w:pPr>
            <w:r w:rsidRPr="00612B9A">
              <w:rPr>
                <w:rFonts w:ascii="Tw Cen MT" w:hAnsi="Tw Cen MT" w:cs="Arial"/>
                <w:b/>
                <w:i w:val="0"/>
                <w:sz w:val="18"/>
                <w:szCs w:val="18"/>
              </w:rPr>
              <w:t>Slow sand filters</w:t>
            </w:r>
          </w:p>
        </w:tc>
      </w:tr>
      <w:tr w:rsidR="00652A58" w:rsidRPr="006646DE" w14:paraId="460838F5" w14:textId="77777777" w:rsidTr="00813318">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640" w:type="pct"/>
            <w:vAlign w:val="center"/>
          </w:tcPr>
          <w:p w14:paraId="18A88527" w14:textId="77777777" w:rsidR="00652A58" w:rsidRPr="006646DE" w:rsidRDefault="00652A58" w:rsidP="00813318">
            <w:pPr>
              <w:jc w:val="left"/>
              <w:rPr>
                <w:rFonts w:ascii="Tw Cen MT" w:hAnsi="Tw Cen MT" w:cs="Arial"/>
                <w:i w:val="0"/>
                <w:sz w:val="18"/>
                <w:szCs w:val="18"/>
              </w:rPr>
            </w:pPr>
            <w:r w:rsidRPr="006646DE">
              <w:rPr>
                <w:rFonts w:ascii="Tw Cen MT" w:hAnsi="Tw Cen MT" w:cs="Arial"/>
                <w:i w:val="0"/>
                <w:sz w:val="18"/>
                <w:szCs w:val="18"/>
              </w:rPr>
              <w:t>Disinfectant residual</w:t>
            </w:r>
          </w:p>
        </w:tc>
        <w:tc>
          <w:tcPr>
            <w:tcW w:w="581" w:type="pct"/>
            <w:vAlign w:val="center"/>
            <w:hideMark/>
          </w:tcPr>
          <w:p w14:paraId="1408F7D8"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No</w:t>
            </w:r>
          </w:p>
        </w:tc>
        <w:tc>
          <w:tcPr>
            <w:tcW w:w="638" w:type="pct"/>
            <w:vAlign w:val="center"/>
            <w:hideMark/>
          </w:tcPr>
          <w:p w14:paraId="3718E8AB"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Yes</w:t>
            </w:r>
          </w:p>
        </w:tc>
        <w:tc>
          <w:tcPr>
            <w:tcW w:w="640" w:type="pct"/>
            <w:vAlign w:val="center"/>
          </w:tcPr>
          <w:p w14:paraId="51A2C1BC"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Yes</w:t>
            </w:r>
          </w:p>
        </w:tc>
        <w:tc>
          <w:tcPr>
            <w:tcW w:w="640" w:type="pct"/>
            <w:vAlign w:val="center"/>
          </w:tcPr>
          <w:p w14:paraId="6BEF2C6D"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No</w:t>
            </w:r>
          </w:p>
        </w:tc>
        <w:tc>
          <w:tcPr>
            <w:tcW w:w="640" w:type="pct"/>
            <w:vAlign w:val="center"/>
          </w:tcPr>
          <w:p w14:paraId="51883759"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color w:val="FF0000"/>
                <w:sz w:val="18"/>
                <w:szCs w:val="18"/>
              </w:rPr>
            </w:pPr>
            <w:r w:rsidRPr="006646DE">
              <w:rPr>
                <w:rFonts w:ascii="Tw Cen MT" w:hAnsi="Tw Cen MT" w:cs="Arial"/>
                <w:sz w:val="18"/>
                <w:szCs w:val="18"/>
              </w:rPr>
              <w:t>No</w:t>
            </w:r>
          </w:p>
        </w:tc>
        <w:tc>
          <w:tcPr>
            <w:tcW w:w="640" w:type="pct"/>
            <w:vAlign w:val="center"/>
          </w:tcPr>
          <w:p w14:paraId="71C044F2" w14:textId="77777777" w:rsidR="00652A58" w:rsidRPr="00612B9A"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No</w:t>
            </w:r>
          </w:p>
        </w:tc>
        <w:tc>
          <w:tcPr>
            <w:tcW w:w="581" w:type="pct"/>
            <w:vAlign w:val="center"/>
          </w:tcPr>
          <w:p w14:paraId="7821DC2A" w14:textId="77777777" w:rsidR="00652A58" w:rsidRPr="00612B9A"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No</w:t>
            </w:r>
          </w:p>
        </w:tc>
      </w:tr>
      <w:tr w:rsidR="00652A58" w:rsidRPr="006646DE" w14:paraId="672D3878" w14:textId="77777777" w:rsidTr="00813318">
        <w:tc>
          <w:tcPr>
            <w:cnfStyle w:val="001000000000" w:firstRow="0" w:lastRow="0" w:firstColumn="1" w:lastColumn="0" w:oddVBand="0" w:evenVBand="0" w:oddHBand="0" w:evenHBand="0" w:firstRowFirstColumn="0" w:firstRowLastColumn="0" w:lastRowFirstColumn="0" w:lastRowLastColumn="0"/>
            <w:tcW w:w="640" w:type="pct"/>
            <w:vAlign w:val="center"/>
            <w:hideMark/>
          </w:tcPr>
          <w:p w14:paraId="447DF907" w14:textId="77777777" w:rsidR="00652A58" w:rsidRPr="006646DE" w:rsidRDefault="00652A58" w:rsidP="00813318">
            <w:pPr>
              <w:jc w:val="left"/>
              <w:rPr>
                <w:rFonts w:ascii="Tw Cen MT" w:hAnsi="Tw Cen MT" w:cs="Arial"/>
                <w:i w:val="0"/>
                <w:sz w:val="18"/>
                <w:szCs w:val="18"/>
              </w:rPr>
            </w:pPr>
            <w:r w:rsidRPr="006646DE">
              <w:rPr>
                <w:rFonts w:ascii="Tw Cen MT" w:hAnsi="Tw Cen MT" w:cs="Arial"/>
                <w:i w:val="0"/>
                <w:sz w:val="18"/>
                <w:szCs w:val="18"/>
              </w:rPr>
              <w:t xml:space="preserve">Chemical changes in water </w:t>
            </w:r>
          </w:p>
        </w:tc>
        <w:tc>
          <w:tcPr>
            <w:tcW w:w="581" w:type="pct"/>
            <w:vAlign w:val="center"/>
            <w:hideMark/>
          </w:tcPr>
          <w:p w14:paraId="2FC75C35"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No</w:t>
            </w:r>
          </w:p>
        </w:tc>
        <w:tc>
          <w:tcPr>
            <w:tcW w:w="638" w:type="pct"/>
            <w:vAlign w:val="center"/>
          </w:tcPr>
          <w:p w14:paraId="0E292EDB"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Yes, may cause taste and odour</w:t>
            </w:r>
          </w:p>
        </w:tc>
        <w:tc>
          <w:tcPr>
            <w:tcW w:w="640" w:type="pct"/>
            <w:vAlign w:val="center"/>
          </w:tcPr>
          <w:p w14:paraId="5CF7339D"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Yes, may cause taste and odour</w:t>
            </w:r>
          </w:p>
        </w:tc>
        <w:tc>
          <w:tcPr>
            <w:tcW w:w="640" w:type="pct"/>
            <w:vAlign w:val="center"/>
          </w:tcPr>
          <w:p w14:paraId="128406BF"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No</w:t>
            </w:r>
          </w:p>
        </w:tc>
        <w:tc>
          <w:tcPr>
            <w:tcW w:w="640" w:type="pct"/>
            <w:vAlign w:val="center"/>
          </w:tcPr>
          <w:p w14:paraId="6E0398C3"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color w:val="FF0000"/>
                <w:sz w:val="18"/>
                <w:szCs w:val="18"/>
              </w:rPr>
            </w:pPr>
            <w:r w:rsidRPr="006646DE">
              <w:rPr>
                <w:rFonts w:ascii="Tw Cen MT" w:hAnsi="Tw Cen MT" w:cs="Arial"/>
                <w:sz w:val="18"/>
                <w:szCs w:val="18"/>
              </w:rPr>
              <w:t>No</w:t>
            </w:r>
          </w:p>
        </w:tc>
        <w:tc>
          <w:tcPr>
            <w:tcW w:w="640" w:type="pct"/>
            <w:vAlign w:val="center"/>
          </w:tcPr>
          <w:p w14:paraId="1B0866B4" w14:textId="77777777" w:rsidR="00652A58" w:rsidRPr="00612B9A"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No</w:t>
            </w:r>
          </w:p>
        </w:tc>
        <w:tc>
          <w:tcPr>
            <w:tcW w:w="581" w:type="pct"/>
            <w:vAlign w:val="center"/>
          </w:tcPr>
          <w:p w14:paraId="2C58D697" w14:textId="77777777" w:rsidR="00652A58" w:rsidRPr="00612B9A"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No</w:t>
            </w:r>
          </w:p>
        </w:tc>
      </w:tr>
      <w:tr w:rsidR="00652A58" w:rsidRPr="006646DE" w14:paraId="70FC21F1" w14:textId="77777777" w:rsidTr="00813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 w:type="pct"/>
            <w:vAlign w:val="center"/>
            <w:hideMark/>
          </w:tcPr>
          <w:p w14:paraId="4CDC36B9" w14:textId="77777777" w:rsidR="00652A58" w:rsidRPr="006646DE" w:rsidRDefault="00652A58" w:rsidP="00813318">
            <w:pPr>
              <w:jc w:val="left"/>
              <w:rPr>
                <w:rFonts w:ascii="Tw Cen MT" w:hAnsi="Tw Cen MT" w:cs="Arial"/>
                <w:i w:val="0"/>
                <w:sz w:val="18"/>
                <w:szCs w:val="18"/>
              </w:rPr>
            </w:pPr>
            <w:r w:rsidRPr="006646DE">
              <w:rPr>
                <w:rFonts w:ascii="Tw Cen MT" w:hAnsi="Tw Cen MT" w:cs="Arial"/>
                <w:i w:val="0"/>
                <w:sz w:val="18"/>
                <w:szCs w:val="18"/>
              </w:rPr>
              <w:t xml:space="preserve">Microbial regrowth potential in treated water </w:t>
            </w:r>
          </w:p>
        </w:tc>
        <w:tc>
          <w:tcPr>
            <w:tcW w:w="581" w:type="pct"/>
            <w:vAlign w:val="center"/>
          </w:tcPr>
          <w:p w14:paraId="372C3CF6"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Yes, with storage beyond 1–2 days</w:t>
            </w:r>
          </w:p>
        </w:tc>
        <w:tc>
          <w:tcPr>
            <w:tcW w:w="638" w:type="pct"/>
            <w:vAlign w:val="center"/>
            <w:hideMark/>
          </w:tcPr>
          <w:p w14:paraId="372B7678"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No, if chlorine residual is monitored and maintained</w:t>
            </w:r>
          </w:p>
        </w:tc>
        <w:tc>
          <w:tcPr>
            <w:tcW w:w="640" w:type="pct"/>
            <w:vAlign w:val="center"/>
          </w:tcPr>
          <w:p w14:paraId="196CAFEA"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No, if chlorine residual is monitored and maintained</w:t>
            </w:r>
          </w:p>
        </w:tc>
        <w:tc>
          <w:tcPr>
            <w:tcW w:w="640" w:type="pct"/>
            <w:vAlign w:val="center"/>
          </w:tcPr>
          <w:p w14:paraId="79A56112"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Yes, with storage beyond 1–2 days</w:t>
            </w:r>
          </w:p>
        </w:tc>
        <w:tc>
          <w:tcPr>
            <w:tcW w:w="640" w:type="pct"/>
            <w:vAlign w:val="center"/>
          </w:tcPr>
          <w:p w14:paraId="5889F12A"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color w:val="FF0000"/>
                <w:sz w:val="18"/>
                <w:szCs w:val="18"/>
              </w:rPr>
            </w:pPr>
            <w:r w:rsidRPr="006646DE">
              <w:rPr>
                <w:rFonts w:ascii="Tw Cen MT" w:hAnsi="Tw Cen MT" w:cs="Arial"/>
                <w:sz w:val="18"/>
                <w:szCs w:val="18"/>
              </w:rPr>
              <w:t>Yes, with storage beyond 1–2 days</w:t>
            </w:r>
          </w:p>
        </w:tc>
        <w:tc>
          <w:tcPr>
            <w:tcW w:w="640" w:type="pct"/>
            <w:vAlign w:val="center"/>
          </w:tcPr>
          <w:p w14:paraId="3EF5BB63" w14:textId="77777777" w:rsidR="00652A58" w:rsidRPr="00612B9A"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Yes, but container provides safe storage</w:t>
            </w:r>
          </w:p>
        </w:tc>
        <w:tc>
          <w:tcPr>
            <w:tcW w:w="581" w:type="pct"/>
            <w:vAlign w:val="center"/>
          </w:tcPr>
          <w:p w14:paraId="7422AAB7" w14:textId="77777777" w:rsidR="00652A58" w:rsidRPr="00612B9A"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Yes, but container provides safe storage</w:t>
            </w:r>
          </w:p>
        </w:tc>
      </w:tr>
      <w:tr w:rsidR="00652A58" w:rsidRPr="006646DE" w14:paraId="2E21F999" w14:textId="77777777" w:rsidTr="00813318">
        <w:tc>
          <w:tcPr>
            <w:cnfStyle w:val="001000000000" w:firstRow="0" w:lastRow="0" w:firstColumn="1" w:lastColumn="0" w:oddVBand="0" w:evenVBand="0" w:oddHBand="0" w:evenHBand="0" w:firstRowFirstColumn="0" w:firstRowLastColumn="0" w:lastRowFirstColumn="0" w:lastRowLastColumn="0"/>
            <w:tcW w:w="640" w:type="pct"/>
            <w:vAlign w:val="center"/>
            <w:hideMark/>
          </w:tcPr>
          <w:p w14:paraId="13AF174F" w14:textId="77777777" w:rsidR="00652A58" w:rsidRPr="006646DE" w:rsidRDefault="00652A58" w:rsidP="00813318">
            <w:pPr>
              <w:jc w:val="left"/>
              <w:rPr>
                <w:rFonts w:ascii="Tw Cen MT" w:hAnsi="Tw Cen MT" w:cs="Arial"/>
                <w:i w:val="0"/>
                <w:sz w:val="18"/>
                <w:szCs w:val="18"/>
              </w:rPr>
            </w:pPr>
            <w:r w:rsidRPr="006646DE">
              <w:rPr>
                <w:rFonts w:ascii="Tw Cen MT" w:hAnsi="Tw Cen MT" w:cs="Arial"/>
                <w:i w:val="0"/>
                <w:sz w:val="18"/>
                <w:szCs w:val="18"/>
              </w:rPr>
              <w:t>Skills level and ease of use</w:t>
            </w:r>
          </w:p>
        </w:tc>
        <w:tc>
          <w:tcPr>
            <w:tcW w:w="581" w:type="pct"/>
            <w:vAlign w:val="center"/>
            <w:hideMark/>
          </w:tcPr>
          <w:p w14:paraId="3F1DF5CF"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Low skills, easy to use</w:t>
            </w:r>
          </w:p>
        </w:tc>
        <w:tc>
          <w:tcPr>
            <w:tcW w:w="638" w:type="pct"/>
            <w:vAlign w:val="center"/>
          </w:tcPr>
          <w:p w14:paraId="7B6BE44E"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Low skills, easy to use with training</w:t>
            </w:r>
          </w:p>
        </w:tc>
        <w:tc>
          <w:tcPr>
            <w:tcW w:w="640" w:type="pct"/>
            <w:vAlign w:val="center"/>
          </w:tcPr>
          <w:p w14:paraId="752289EE"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Moderate training needed</w:t>
            </w:r>
          </w:p>
        </w:tc>
        <w:tc>
          <w:tcPr>
            <w:tcW w:w="640" w:type="pct"/>
            <w:vAlign w:val="center"/>
          </w:tcPr>
          <w:p w14:paraId="49126A91"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Low skills, easy to use</w:t>
            </w:r>
          </w:p>
        </w:tc>
        <w:tc>
          <w:tcPr>
            <w:tcW w:w="640" w:type="pct"/>
            <w:vAlign w:val="center"/>
          </w:tcPr>
          <w:p w14:paraId="628F274C"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color w:val="FF0000"/>
                <w:sz w:val="18"/>
                <w:szCs w:val="18"/>
              </w:rPr>
            </w:pPr>
            <w:r w:rsidRPr="006646DE">
              <w:rPr>
                <w:rFonts w:ascii="Tw Cen MT" w:hAnsi="Tw Cen MT" w:cs="Arial"/>
                <w:sz w:val="18"/>
                <w:szCs w:val="18"/>
              </w:rPr>
              <w:t>Moderate training needed</w:t>
            </w:r>
          </w:p>
        </w:tc>
        <w:tc>
          <w:tcPr>
            <w:tcW w:w="640" w:type="pct"/>
            <w:vAlign w:val="center"/>
          </w:tcPr>
          <w:p w14:paraId="28E37AA8" w14:textId="77777777" w:rsidR="00652A58" w:rsidRPr="00612B9A"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Low skills, easy to use with training</w:t>
            </w:r>
          </w:p>
        </w:tc>
        <w:tc>
          <w:tcPr>
            <w:tcW w:w="581" w:type="pct"/>
            <w:vAlign w:val="center"/>
          </w:tcPr>
          <w:p w14:paraId="39E55606" w14:textId="77777777" w:rsidR="00652A58" w:rsidRPr="00612B9A"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Low skills, easy to use with training</w:t>
            </w:r>
          </w:p>
        </w:tc>
      </w:tr>
      <w:tr w:rsidR="00652A58" w:rsidRPr="006646DE" w14:paraId="2AD93512" w14:textId="77777777" w:rsidTr="00813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 w:type="pct"/>
            <w:vAlign w:val="center"/>
            <w:hideMark/>
          </w:tcPr>
          <w:p w14:paraId="68713F1E" w14:textId="77777777" w:rsidR="00652A58" w:rsidRPr="006646DE" w:rsidRDefault="00652A58" w:rsidP="00813318">
            <w:pPr>
              <w:jc w:val="left"/>
              <w:rPr>
                <w:rFonts w:ascii="Tw Cen MT" w:hAnsi="Tw Cen MT" w:cs="Arial"/>
                <w:i w:val="0"/>
                <w:sz w:val="18"/>
                <w:szCs w:val="18"/>
              </w:rPr>
            </w:pPr>
            <w:r w:rsidRPr="006646DE">
              <w:rPr>
                <w:rFonts w:ascii="Tw Cen MT" w:hAnsi="Tw Cen MT" w:cs="Arial"/>
                <w:i w:val="0"/>
                <w:sz w:val="18"/>
                <w:szCs w:val="18"/>
              </w:rPr>
              <w:t>Availability of needed material</w:t>
            </w:r>
          </w:p>
        </w:tc>
        <w:tc>
          <w:tcPr>
            <w:tcW w:w="581" w:type="pct"/>
            <w:vAlign w:val="center"/>
            <w:hideMark/>
          </w:tcPr>
          <w:p w14:paraId="5B8F4840"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Requires a source of fuel</w:t>
            </w:r>
          </w:p>
        </w:tc>
        <w:tc>
          <w:tcPr>
            <w:tcW w:w="638" w:type="pct"/>
            <w:vAlign w:val="center"/>
          </w:tcPr>
          <w:p w14:paraId="22D39DBD" w14:textId="4845D5A9"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Requires source of free chlorine, regular monitoring of chlorine residual and safe storage vessels</w:t>
            </w:r>
            <w:r w:rsidR="00CA461F">
              <w:rPr>
                <w:rFonts w:ascii="Tw Cen MT" w:hAnsi="Tw Cen MT" w:cs="Arial"/>
                <w:sz w:val="18"/>
                <w:szCs w:val="18"/>
              </w:rPr>
              <w:t xml:space="preserve"> (See Appendix 14)</w:t>
            </w:r>
          </w:p>
        </w:tc>
        <w:tc>
          <w:tcPr>
            <w:tcW w:w="640" w:type="pct"/>
            <w:vAlign w:val="center"/>
          </w:tcPr>
          <w:p w14:paraId="2B571103"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 xml:space="preserve">Requires chemical coagulants, free chlorine, two containers, a filter cloth </w:t>
            </w:r>
          </w:p>
        </w:tc>
        <w:tc>
          <w:tcPr>
            <w:tcW w:w="640" w:type="pct"/>
            <w:vAlign w:val="center"/>
          </w:tcPr>
          <w:p w14:paraId="46346027"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Requires plastic bottle and dark surface</w:t>
            </w:r>
          </w:p>
        </w:tc>
        <w:tc>
          <w:tcPr>
            <w:tcW w:w="640" w:type="pct"/>
            <w:vAlign w:val="center"/>
          </w:tcPr>
          <w:p w14:paraId="62599D9E"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color w:val="FF0000"/>
                <w:sz w:val="18"/>
                <w:szCs w:val="18"/>
              </w:rPr>
            </w:pPr>
            <w:r w:rsidRPr="006646DE">
              <w:rPr>
                <w:rFonts w:ascii="Tw Cen MT" w:hAnsi="Tw Cen MT" w:cs="Arial"/>
                <w:sz w:val="18"/>
                <w:szCs w:val="18"/>
              </w:rPr>
              <w:t>Requires UV radiation units, replacement lamps, and reliable source of electricity</w:t>
            </w:r>
          </w:p>
        </w:tc>
        <w:tc>
          <w:tcPr>
            <w:tcW w:w="640" w:type="pct"/>
            <w:vAlign w:val="center"/>
          </w:tcPr>
          <w:p w14:paraId="2300B45B" w14:textId="77777777" w:rsidR="00652A58" w:rsidRPr="00612B9A"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Requires a filter, regular cleaning and maintenance</w:t>
            </w:r>
          </w:p>
        </w:tc>
        <w:tc>
          <w:tcPr>
            <w:tcW w:w="581" w:type="pct"/>
            <w:vAlign w:val="center"/>
          </w:tcPr>
          <w:p w14:paraId="6D13C77F" w14:textId="77777777" w:rsidR="00652A58" w:rsidRPr="00612B9A"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Requires a sand filter, regular cleaning and maintenance</w:t>
            </w:r>
          </w:p>
        </w:tc>
      </w:tr>
      <w:tr w:rsidR="00652A58" w:rsidRPr="006646DE" w14:paraId="2D5D6484" w14:textId="77777777" w:rsidTr="00813318">
        <w:tc>
          <w:tcPr>
            <w:cnfStyle w:val="001000000000" w:firstRow="0" w:lastRow="0" w:firstColumn="1" w:lastColumn="0" w:oddVBand="0" w:evenVBand="0" w:oddHBand="0" w:evenHBand="0" w:firstRowFirstColumn="0" w:firstRowLastColumn="0" w:lastRowFirstColumn="0" w:lastRowLastColumn="0"/>
            <w:tcW w:w="640" w:type="pct"/>
            <w:vAlign w:val="center"/>
            <w:hideMark/>
          </w:tcPr>
          <w:p w14:paraId="69D5B699" w14:textId="77777777" w:rsidR="00652A58" w:rsidRPr="006646DE" w:rsidRDefault="00652A58" w:rsidP="00813318">
            <w:pPr>
              <w:jc w:val="left"/>
              <w:rPr>
                <w:rFonts w:ascii="Tw Cen MT" w:hAnsi="Tw Cen MT" w:cs="Arial"/>
                <w:i w:val="0"/>
                <w:sz w:val="18"/>
                <w:szCs w:val="18"/>
              </w:rPr>
            </w:pPr>
            <w:r w:rsidRPr="006646DE">
              <w:rPr>
                <w:rFonts w:ascii="Tw Cen MT" w:hAnsi="Tw Cen MT" w:cs="Arial"/>
                <w:i w:val="0"/>
                <w:sz w:val="18"/>
                <w:szCs w:val="18"/>
              </w:rPr>
              <w:t xml:space="preserve">Acceptability </w:t>
            </w:r>
          </w:p>
          <w:p w14:paraId="46CAFB3A" w14:textId="77777777" w:rsidR="00652A58" w:rsidRPr="006646DE" w:rsidRDefault="00652A58" w:rsidP="00813318">
            <w:pPr>
              <w:jc w:val="left"/>
              <w:rPr>
                <w:rFonts w:ascii="Tw Cen MT" w:hAnsi="Tw Cen MT" w:cs="Arial"/>
                <w:i w:val="0"/>
                <w:sz w:val="18"/>
                <w:szCs w:val="18"/>
              </w:rPr>
            </w:pPr>
          </w:p>
        </w:tc>
        <w:tc>
          <w:tcPr>
            <w:tcW w:w="581" w:type="pct"/>
            <w:vAlign w:val="center"/>
            <w:hideMark/>
          </w:tcPr>
          <w:p w14:paraId="7414AC45"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High</w:t>
            </w:r>
          </w:p>
        </w:tc>
        <w:tc>
          <w:tcPr>
            <w:tcW w:w="638" w:type="pct"/>
            <w:vAlign w:val="center"/>
          </w:tcPr>
          <w:p w14:paraId="5821C8DA"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High to moderate</w:t>
            </w:r>
          </w:p>
        </w:tc>
        <w:tc>
          <w:tcPr>
            <w:tcW w:w="640" w:type="pct"/>
            <w:vAlign w:val="center"/>
          </w:tcPr>
          <w:p w14:paraId="232341B7"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High to moderate</w:t>
            </w:r>
          </w:p>
        </w:tc>
        <w:tc>
          <w:tcPr>
            <w:tcW w:w="640" w:type="pct"/>
            <w:vAlign w:val="center"/>
          </w:tcPr>
          <w:p w14:paraId="1A9CE040"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High to moderate</w:t>
            </w:r>
          </w:p>
        </w:tc>
        <w:tc>
          <w:tcPr>
            <w:tcW w:w="640" w:type="pct"/>
            <w:vAlign w:val="center"/>
          </w:tcPr>
          <w:p w14:paraId="0F53B7C4"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color w:val="FF0000"/>
                <w:sz w:val="18"/>
                <w:szCs w:val="18"/>
              </w:rPr>
            </w:pPr>
            <w:r w:rsidRPr="006646DE">
              <w:rPr>
                <w:rFonts w:ascii="Tw Cen MT" w:hAnsi="Tw Cen MT" w:cs="Arial"/>
                <w:sz w:val="18"/>
                <w:szCs w:val="18"/>
              </w:rPr>
              <w:t>Moderate to low</w:t>
            </w:r>
          </w:p>
        </w:tc>
        <w:tc>
          <w:tcPr>
            <w:tcW w:w="640" w:type="pct"/>
            <w:vAlign w:val="center"/>
          </w:tcPr>
          <w:p w14:paraId="19BD9CBE" w14:textId="77777777" w:rsidR="00652A58" w:rsidRPr="00612B9A"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Moderate to low</w:t>
            </w:r>
          </w:p>
        </w:tc>
        <w:tc>
          <w:tcPr>
            <w:tcW w:w="581" w:type="pct"/>
            <w:vAlign w:val="center"/>
          </w:tcPr>
          <w:p w14:paraId="1A32E3E4" w14:textId="77777777" w:rsidR="00652A58" w:rsidRPr="00612B9A"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Moderate to low</w:t>
            </w:r>
          </w:p>
        </w:tc>
      </w:tr>
      <w:tr w:rsidR="00652A58" w:rsidRPr="006646DE" w14:paraId="79E2B32C" w14:textId="77777777" w:rsidTr="00813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 w:type="pct"/>
            <w:vAlign w:val="center"/>
            <w:hideMark/>
          </w:tcPr>
          <w:p w14:paraId="72E5E8C0" w14:textId="77777777" w:rsidR="00652A58" w:rsidRPr="006646DE" w:rsidRDefault="00652A58" w:rsidP="00813318">
            <w:pPr>
              <w:jc w:val="left"/>
              <w:rPr>
                <w:rFonts w:ascii="Tw Cen MT" w:hAnsi="Tw Cen MT" w:cs="Arial"/>
                <w:i w:val="0"/>
                <w:sz w:val="18"/>
                <w:szCs w:val="18"/>
              </w:rPr>
            </w:pPr>
            <w:r w:rsidRPr="006646DE">
              <w:rPr>
                <w:rFonts w:ascii="Tw Cen MT" w:hAnsi="Tw Cen MT" w:cs="Arial"/>
                <w:i w:val="0"/>
                <w:sz w:val="18"/>
                <w:szCs w:val="18"/>
              </w:rPr>
              <w:t>Length of treatment time</w:t>
            </w:r>
          </w:p>
        </w:tc>
        <w:tc>
          <w:tcPr>
            <w:tcW w:w="581" w:type="pct"/>
            <w:vAlign w:val="center"/>
            <w:hideMark/>
          </w:tcPr>
          <w:p w14:paraId="791F14EB"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Minutes to tens of minutes</w:t>
            </w:r>
          </w:p>
        </w:tc>
        <w:tc>
          <w:tcPr>
            <w:tcW w:w="638" w:type="pct"/>
            <w:vAlign w:val="center"/>
            <w:hideMark/>
          </w:tcPr>
          <w:p w14:paraId="38726F49" w14:textId="26F0ACF2" w:rsidR="00652A58" w:rsidRPr="006646DE" w:rsidRDefault="001C5AD2"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Pr>
                <w:rFonts w:ascii="Tw Cen MT" w:hAnsi="Tw Cen MT" w:cs="Arial"/>
                <w:sz w:val="18"/>
                <w:szCs w:val="18"/>
              </w:rPr>
              <w:t>30</w:t>
            </w:r>
            <w:r w:rsidR="00652A58" w:rsidRPr="006646DE">
              <w:rPr>
                <w:rFonts w:ascii="Tw Cen MT" w:hAnsi="Tw Cen MT" w:cs="Arial"/>
                <w:sz w:val="18"/>
                <w:szCs w:val="18"/>
              </w:rPr>
              <w:t xml:space="preserve"> minutes</w:t>
            </w:r>
          </w:p>
        </w:tc>
        <w:tc>
          <w:tcPr>
            <w:tcW w:w="640" w:type="pct"/>
            <w:vAlign w:val="center"/>
          </w:tcPr>
          <w:p w14:paraId="19241D5C" w14:textId="58619779"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30 min</w:t>
            </w:r>
            <w:r w:rsidR="00CA461F">
              <w:rPr>
                <w:rFonts w:ascii="Tw Cen MT" w:hAnsi="Tw Cen MT" w:cs="Arial"/>
                <w:sz w:val="18"/>
                <w:szCs w:val="18"/>
              </w:rPr>
              <w:t>utes</w:t>
            </w:r>
          </w:p>
        </w:tc>
        <w:tc>
          <w:tcPr>
            <w:tcW w:w="640" w:type="pct"/>
            <w:vAlign w:val="center"/>
          </w:tcPr>
          <w:p w14:paraId="19872419" w14:textId="107A0EE8"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6</w:t>
            </w:r>
            <w:r w:rsidR="00BF1653">
              <w:rPr>
                <w:rFonts w:ascii="Tw Cen MT" w:hAnsi="Tw Cen MT" w:cs="Arial"/>
                <w:sz w:val="18"/>
                <w:szCs w:val="18"/>
              </w:rPr>
              <w:t>–</w:t>
            </w:r>
            <w:r w:rsidRPr="006646DE">
              <w:rPr>
                <w:rFonts w:ascii="Tw Cen MT" w:hAnsi="Tw Cen MT" w:cs="Arial"/>
                <w:sz w:val="18"/>
                <w:szCs w:val="18"/>
              </w:rPr>
              <w:t>12 hours (full sun) to days (if cloudy)</w:t>
            </w:r>
          </w:p>
        </w:tc>
        <w:tc>
          <w:tcPr>
            <w:tcW w:w="640" w:type="pct"/>
            <w:vAlign w:val="center"/>
          </w:tcPr>
          <w:p w14:paraId="7080861B" w14:textId="77777777" w:rsidR="00652A58" w:rsidRPr="006646DE"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color w:val="FF0000"/>
                <w:sz w:val="18"/>
                <w:szCs w:val="18"/>
              </w:rPr>
            </w:pPr>
            <w:r w:rsidRPr="006646DE">
              <w:rPr>
                <w:rFonts w:ascii="Tw Cen MT" w:hAnsi="Tw Cen MT" w:cs="Arial"/>
                <w:sz w:val="18"/>
                <w:szCs w:val="18"/>
              </w:rPr>
              <w:t>Seconds to minutes, depending on the water volume treated and the reactor design</w:t>
            </w:r>
          </w:p>
        </w:tc>
        <w:tc>
          <w:tcPr>
            <w:tcW w:w="640" w:type="pct"/>
            <w:vAlign w:val="center"/>
          </w:tcPr>
          <w:p w14:paraId="0DA5AE67" w14:textId="3A2C5EB1" w:rsidR="00652A58" w:rsidRPr="00612B9A"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Depending on the filter 1</w:t>
            </w:r>
            <w:r w:rsidR="00BF1653">
              <w:rPr>
                <w:rFonts w:ascii="Tw Cen MT" w:hAnsi="Tw Cen MT" w:cs="Arial"/>
                <w:sz w:val="18"/>
                <w:szCs w:val="18"/>
              </w:rPr>
              <w:t>–</w:t>
            </w:r>
            <w:r w:rsidRPr="00612B9A">
              <w:rPr>
                <w:rFonts w:ascii="Tw Cen MT" w:hAnsi="Tw Cen MT" w:cs="Arial"/>
                <w:sz w:val="18"/>
                <w:szCs w:val="18"/>
              </w:rPr>
              <w:t>3 litres/hour</w:t>
            </w:r>
          </w:p>
        </w:tc>
        <w:tc>
          <w:tcPr>
            <w:tcW w:w="581" w:type="pct"/>
            <w:vAlign w:val="center"/>
          </w:tcPr>
          <w:p w14:paraId="28204ACF" w14:textId="77777777" w:rsidR="00652A58" w:rsidRPr="00612B9A" w:rsidRDefault="00652A58" w:rsidP="00813318">
            <w:pPr>
              <w:jc w:val="center"/>
              <w:cnfStyle w:val="000000100000" w:firstRow="0" w:lastRow="0" w:firstColumn="0" w:lastColumn="0" w:oddVBand="0" w:evenVBand="0" w:oddHBand="1"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1 litre per minute</w:t>
            </w:r>
          </w:p>
        </w:tc>
      </w:tr>
      <w:tr w:rsidR="00652A58" w:rsidRPr="006646DE" w14:paraId="20156979" w14:textId="77777777" w:rsidTr="00813318">
        <w:tc>
          <w:tcPr>
            <w:cnfStyle w:val="001000000000" w:firstRow="0" w:lastRow="0" w:firstColumn="1" w:lastColumn="0" w:oddVBand="0" w:evenVBand="0" w:oddHBand="0" w:evenHBand="0" w:firstRowFirstColumn="0" w:firstRowLastColumn="0" w:lastRowFirstColumn="0" w:lastRowLastColumn="0"/>
            <w:tcW w:w="640" w:type="pct"/>
            <w:vAlign w:val="center"/>
          </w:tcPr>
          <w:p w14:paraId="0900A63C" w14:textId="77777777" w:rsidR="00652A58" w:rsidRPr="006646DE" w:rsidRDefault="00652A58" w:rsidP="00813318">
            <w:pPr>
              <w:jc w:val="left"/>
              <w:rPr>
                <w:rFonts w:ascii="Tw Cen MT" w:hAnsi="Tw Cen MT" w:cs="Arial"/>
                <w:i w:val="0"/>
                <w:sz w:val="18"/>
                <w:szCs w:val="18"/>
              </w:rPr>
            </w:pPr>
            <w:r w:rsidRPr="006646DE">
              <w:rPr>
                <w:rFonts w:ascii="Tw Cen MT" w:hAnsi="Tw Cen MT" w:cs="Arial"/>
                <w:i w:val="0"/>
                <w:sz w:val="18"/>
                <w:szCs w:val="18"/>
              </w:rPr>
              <w:t>Comments</w:t>
            </w:r>
          </w:p>
        </w:tc>
        <w:tc>
          <w:tcPr>
            <w:tcW w:w="581" w:type="pct"/>
            <w:vAlign w:val="center"/>
          </w:tcPr>
          <w:p w14:paraId="78F5FA06"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High cost (fuel)</w:t>
            </w:r>
          </w:p>
        </w:tc>
        <w:tc>
          <w:tcPr>
            <w:tcW w:w="638" w:type="pct"/>
            <w:vAlign w:val="center"/>
          </w:tcPr>
          <w:p w14:paraId="0F85BB28"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 xml:space="preserve">Not effective against </w:t>
            </w:r>
            <w:r w:rsidRPr="006646DE">
              <w:rPr>
                <w:rFonts w:ascii="Tw Cen MT" w:hAnsi="Tw Cen MT" w:cs="Arial"/>
                <w:i/>
                <w:sz w:val="18"/>
                <w:szCs w:val="18"/>
              </w:rPr>
              <w:t>Giardia</w:t>
            </w:r>
            <w:r w:rsidRPr="006646DE">
              <w:rPr>
                <w:rFonts w:ascii="Tw Cen MT" w:hAnsi="Tw Cen MT" w:cs="Arial"/>
                <w:sz w:val="18"/>
                <w:szCs w:val="18"/>
              </w:rPr>
              <w:t xml:space="preserve"> and </w:t>
            </w:r>
            <w:r w:rsidRPr="006646DE">
              <w:rPr>
                <w:rFonts w:ascii="Tw Cen MT" w:hAnsi="Tw Cen MT" w:cs="Arial"/>
                <w:i/>
                <w:sz w:val="18"/>
                <w:szCs w:val="18"/>
              </w:rPr>
              <w:t>Cryptosporidium oocysts</w:t>
            </w:r>
          </w:p>
        </w:tc>
        <w:tc>
          <w:tcPr>
            <w:tcW w:w="640" w:type="pct"/>
            <w:vAlign w:val="center"/>
          </w:tcPr>
          <w:p w14:paraId="1869B47E"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Pr>
                <w:rFonts w:ascii="Tw Cen MT" w:hAnsi="Tw Cen MT" w:cs="Arial"/>
                <w:sz w:val="18"/>
                <w:szCs w:val="18"/>
              </w:rPr>
              <w:t>Combined treatment with c</w:t>
            </w:r>
            <w:r w:rsidRPr="006646DE">
              <w:rPr>
                <w:rFonts w:ascii="Tw Cen MT" w:hAnsi="Tw Cen MT" w:cs="Arial"/>
                <w:sz w:val="18"/>
                <w:szCs w:val="18"/>
              </w:rPr>
              <w:t xml:space="preserve">oagulant </w:t>
            </w:r>
            <w:r>
              <w:rPr>
                <w:rFonts w:ascii="Tw Cen MT" w:hAnsi="Tw Cen MT" w:cs="Arial"/>
                <w:sz w:val="18"/>
                <w:szCs w:val="18"/>
              </w:rPr>
              <w:t xml:space="preserve">and </w:t>
            </w:r>
            <w:r w:rsidRPr="006646DE">
              <w:rPr>
                <w:rFonts w:ascii="Tw Cen MT" w:hAnsi="Tw Cen MT" w:cs="Arial"/>
                <w:sz w:val="18"/>
                <w:szCs w:val="18"/>
              </w:rPr>
              <w:t>disinfectant effect</w:t>
            </w:r>
          </w:p>
        </w:tc>
        <w:tc>
          <w:tcPr>
            <w:tcW w:w="640" w:type="pct"/>
            <w:vAlign w:val="center"/>
          </w:tcPr>
          <w:p w14:paraId="2A3DF9C6"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646DE">
              <w:rPr>
                <w:rFonts w:ascii="Tw Cen MT" w:hAnsi="Tw Cen MT" w:cs="Arial"/>
                <w:sz w:val="18"/>
                <w:szCs w:val="18"/>
              </w:rPr>
              <w:t>Suitable in areas with high sunlight exposure</w:t>
            </w:r>
          </w:p>
        </w:tc>
        <w:tc>
          <w:tcPr>
            <w:tcW w:w="640" w:type="pct"/>
            <w:vAlign w:val="center"/>
          </w:tcPr>
          <w:p w14:paraId="26A3FD05" w14:textId="77777777" w:rsidR="00652A58"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Pr>
                <w:rFonts w:ascii="Tw Cen MT" w:hAnsi="Tw Cen MT" w:cs="Arial"/>
                <w:sz w:val="18"/>
                <w:szCs w:val="18"/>
              </w:rPr>
              <w:t xml:space="preserve">Ineffective in turbid-waters. </w:t>
            </w:r>
          </w:p>
          <w:p w14:paraId="7C2E655B" w14:textId="77777777" w:rsidR="00652A58" w:rsidRPr="006646DE"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color w:val="FF0000"/>
                <w:sz w:val="18"/>
                <w:szCs w:val="18"/>
              </w:rPr>
            </w:pPr>
            <w:r w:rsidRPr="00612B9A">
              <w:rPr>
                <w:rFonts w:ascii="Tw Cen MT" w:hAnsi="Tw Cen MT" w:cs="Arial"/>
                <w:sz w:val="18"/>
                <w:szCs w:val="18"/>
              </w:rPr>
              <w:t>Considerable maintenance and high cost</w:t>
            </w:r>
          </w:p>
        </w:tc>
        <w:tc>
          <w:tcPr>
            <w:tcW w:w="640" w:type="pct"/>
            <w:vAlign w:val="center"/>
          </w:tcPr>
          <w:p w14:paraId="1AF34B46" w14:textId="77777777" w:rsidR="00652A58" w:rsidRPr="00612B9A"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Pr>
                <w:rFonts w:ascii="Tw Cen MT" w:hAnsi="Tw Cen MT" w:cs="Arial"/>
                <w:sz w:val="18"/>
                <w:szCs w:val="18"/>
              </w:rPr>
              <w:t xml:space="preserve">Depends on the pore size and use of </w:t>
            </w:r>
            <w:r w:rsidRPr="00612B9A">
              <w:rPr>
                <w:rFonts w:ascii="Tw Cen MT" w:hAnsi="Tw Cen MT" w:cs="Arial"/>
                <w:sz w:val="18"/>
                <w:szCs w:val="18"/>
              </w:rPr>
              <w:t>silver</w:t>
            </w:r>
            <w:r>
              <w:rPr>
                <w:rFonts w:ascii="Tw Cen MT" w:hAnsi="Tw Cen MT" w:cs="Arial"/>
                <w:sz w:val="18"/>
                <w:szCs w:val="18"/>
              </w:rPr>
              <w:t xml:space="preserve"> or other chemical agents</w:t>
            </w:r>
          </w:p>
        </w:tc>
        <w:tc>
          <w:tcPr>
            <w:tcW w:w="581" w:type="pct"/>
            <w:vAlign w:val="center"/>
          </w:tcPr>
          <w:p w14:paraId="029B6F9C" w14:textId="77777777" w:rsidR="00652A58" w:rsidRPr="00612B9A" w:rsidRDefault="00652A58" w:rsidP="00813318">
            <w:pPr>
              <w:jc w:val="center"/>
              <w:cnfStyle w:val="000000000000" w:firstRow="0" w:lastRow="0" w:firstColumn="0" w:lastColumn="0" w:oddVBand="0" w:evenVBand="0" w:oddHBand="0" w:evenHBand="0" w:firstRowFirstColumn="0" w:firstRowLastColumn="0" w:lastRowFirstColumn="0" w:lastRowLastColumn="0"/>
              <w:rPr>
                <w:rFonts w:ascii="Tw Cen MT" w:hAnsi="Tw Cen MT" w:cs="Arial"/>
                <w:sz w:val="18"/>
                <w:szCs w:val="18"/>
              </w:rPr>
            </w:pPr>
            <w:r w:rsidRPr="00612B9A">
              <w:rPr>
                <w:rFonts w:ascii="Tw Cen MT" w:hAnsi="Tw Cen MT" w:cs="Arial"/>
                <w:sz w:val="18"/>
                <w:szCs w:val="18"/>
              </w:rPr>
              <w:t>Considerable maintenance and high cost</w:t>
            </w:r>
          </w:p>
        </w:tc>
      </w:tr>
    </w:tbl>
    <w:p w14:paraId="707C0A78" w14:textId="77777777" w:rsidR="00652A58" w:rsidRDefault="00652A58" w:rsidP="00652A58">
      <w:pPr>
        <w:spacing w:before="120" w:after="0" w:afterAutospacing="0" w:line="240" w:lineRule="auto"/>
        <w:rPr>
          <w:rFonts w:ascii="Tw Cen MT" w:hAnsi="Tw Cen MT" w:cs="Arial"/>
          <w:sz w:val="20"/>
          <w:szCs w:val="20"/>
        </w:rPr>
      </w:pPr>
      <w:r>
        <w:rPr>
          <w:rFonts w:ascii="Tw Cen MT" w:hAnsi="Tw Cen MT" w:cs="Arial"/>
          <w:sz w:val="20"/>
          <w:szCs w:val="20"/>
        </w:rPr>
        <w:t>Notes</w:t>
      </w:r>
    </w:p>
    <w:p w14:paraId="3237C238" w14:textId="6D897B06" w:rsidR="007A3A68" w:rsidRPr="007A3A68" w:rsidRDefault="007A3A68" w:rsidP="00652A58">
      <w:pPr>
        <w:pStyle w:val="ListParagraph"/>
        <w:numPr>
          <w:ilvl w:val="0"/>
          <w:numId w:val="2"/>
        </w:numPr>
        <w:jc w:val="both"/>
        <w:rPr>
          <w:rFonts w:ascii="Tw Cen MT" w:hAnsi="Tw Cen MT" w:cs="Arial"/>
          <w:sz w:val="16"/>
          <w:szCs w:val="16"/>
        </w:rPr>
      </w:pPr>
      <w:r w:rsidRPr="007A3A68">
        <w:rPr>
          <w:rFonts w:ascii="Tw Cen MT" w:hAnsi="Tw Cen MT" w:cs="Arial"/>
          <w:sz w:val="16"/>
          <w:szCs w:val="16"/>
        </w:rPr>
        <w:t xml:space="preserve">Effective dosage of chlorine may be affected by the parameters of the water to be treated (temperature, pH, turbidity and total organic carbon). High-turbid water will require more free chlorine to reach the recommended FRC levels than low-turbid water. </w:t>
      </w:r>
    </w:p>
    <w:p w14:paraId="61AA8152" w14:textId="58C2D162" w:rsidR="00652A58" w:rsidRPr="007A3A68" w:rsidRDefault="007A3A68" w:rsidP="007A3A68">
      <w:pPr>
        <w:pStyle w:val="ListParagraph"/>
        <w:numPr>
          <w:ilvl w:val="0"/>
          <w:numId w:val="2"/>
        </w:numPr>
        <w:jc w:val="both"/>
        <w:rPr>
          <w:rFonts w:ascii="Tw Cen MT" w:hAnsi="Tw Cen MT" w:cs="Arial"/>
          <w:sz w:val="16"/>
          <w:szCs w:val="16"/>
        </w:rPr>
      </w:pPr>
      <w:r w:rsidRPr="007A3A68">
        <w:rPr>
          <w:rFonts w:ascii="Tw Cen MT" w:hAnsi="Tw Cen MT" w:cs="Arial"/>
          <w:sz w:val="16"/>
          <w:szCs w:val="16"/>
        </w:rPr>
        <w:t>Recommendations are to dose with free chlorine at about 2 mg/L to clear water (&lt; 10 nephelometric turbidity units) and twice that (4 mg/L) to turbid water (&gt; 10 nephelometric turbidity units), with a contact time of at least 30 minutes. Howeve</w:t>
      </w:r>
      <w:bookmarkStart w:id="0" w:name="_GoBack"/>
      <w:bookmarkEnd w:id="0"/>
      <w:r w:rsidRPr="007A3A68">
        <w:rPr>
          <w:rFonts w:ascii="Tw Cen MT" w:hAnsi="Tw Cen MT" w:cs="Arial"/>
          <w:sz w:val="16"/>
          <w:szCs w:val="16"/>
        </w:rPr>
        <w:t>r, even low-turbid water can have high chlorine demand due to the total organic carbon load that is not detected by nephelometric testing. Temperature and pH may also affect chlorine requirements. Regular testing of FRC and dose adjustment of free chlorine is therefore essential.</w:t>
      </w:r>
      <w:r w:rsidR="00652A58" w:rsidRPr="007A3A68">
        <w:rPr>
          <w:rFonts w:ascii="Tw Cen MT" w:hAnsi="Tw Cen MT" w:cs="Arial"/>
          <w:sz w:val="16"/>
          <w:szCs w:val="16"/>
        </w:rPr>
        <w:t xml:space="preserve"> </w:t>
      </w:r>
    </w:p>
    <w:p w14:paraId="65301DFF" w14:textId="77777777" w:rsidR="00652A58" w:rsidRPr="007A3A68" w:rsidRDefault="00652A58" w:rsidP="00652A58">
      <w:pPr>
        <w:pStyle w:val="ListParagraph"/>
        <w:numPr>
          <w:ilvl w:val="0"/>
          <w:numId w:val="2"/>
        </w:numPr>
        <w:spacing w:after="120"/>
        <w:contextualSpacing w:val="0"/>
        <w:jc w:val="both"/>
        <w:rPr>
          <w:sz w:val="16"/>
          <w:szCs w:val="16"/>
        </w:rPr>
      </w:pPr>
      <w:r w:rsidRPr="007A3A68">
        <w:rPr>
          <w:rFonts w:ascii="Tw Cen MT" w:hAnsi="Tw Cen MT"/>
          <w:sz w:val="16"/>
          <w:szCs w:val="16"/>
        </w:rPr>
        <w:t>In high-turbid waters, additional treatment may be needed (filtration, sedimentation, coagulation or flocculation) to remove suspended particles and reduce turbidity.</w:t>
      </w:r>
    </w:p>
    <w:p w14:paraId="55EF7396" w14:textId="77777777" w:rsidR="00B75B55" w:rsidRPr="007A3A68" w:rsidRDefault="00B75B55" w:rsidP="00B75B55">
      <w:pPr>
        <w:autoSpaceDE w:val="0"/>
        <w:autoSpaceDN w:val="0"/>
        <w:adjustRightInd w:val="0"/>
        <w:spacing w:after="0" w:afterAutospacing="0" w:line="240" w:lineRule="auto"/>
        <w:rPr>
          <w:rStyle w:val="Hyperlink"/>
          <w:rFonts w:ascii="Tw Cen MT" w:hAnsi="Tw Cen MT" w:cs="Arial"/>
          <w:sz w:val="16"/>
          <w:szCs w:val="16"/>
        </w:rPr>
      </w:pPr>
      <w:r w:rsidRPr="007A3A68">
        <w:rPr>
          <w:rFonts w:ascii="Tw Cen MT" w:hAnsi="Tw Cen MT" w:cs="Arial"/>
          <w:i/>
          <w:sz w:val="16"/>
          <w:szCs w:val="16"/>
        </w:rPr>
        <w:t>Sources</w:t>
      </w:r>
      <w:r w:rsidRPr="007A3A68">
        <w:rPr>
          <w:rFonts w:ascii="Tw Cen MT" w:hAnsi="Tw Cen MT" w:cs="Arial"/>
          <w:sz w:val="16"/>
          <w:szCs w:val="16"/>
        </w:rPr>
        <w:t>: World Health Organization. Guidelines for drinking</w:t>
      </w:r>
      <w:r w:rsidRPr="007A3A68">
        <w:rPr>
          <w:rFonts w:ascii="MS Gothic" w:eastAsia="MS Gothic" w:hAnsi="MS Gothic" w:cs="MS Gothic"/>
          <w:sz w:val="16"/>
          <w:szCs w:val="16"/>
        </w:rPr>
        <w:t>‑</w:t>
      </w:r>
      <w:r w:rsidRPr="007A3A68">
        <w:rPr>
          <w:rFonts w:ascii="Tw Cen MT" w:hAnsi="Tw Cen MT" w:cs="Arial"/>
          <w:sz w:val="16"/>
          <w:szCs w:val="16"/>
        </w:rPr>
        <w:t>water quality. Fourth edition. Geneva: WHO;2017 (</w:t>
      </w:r>
      <w:hyperlink r:id="rId5" w:history="1">
        <w:r w:rsidRPr="007A3A68">
          <w:rPr>
            <w:rStyle w:val="Hyperlink"/>
            <w:rFonts w:ascii="Tw Cen MT" w:hAnsi="Tw Cen MT" w:cs="Arial"/>
            <w:sz w:val="16"/>
            <w:szCs w:val="16"/>
          </w:rPr>
          <w:t>http://www.who.int/water_sanitation_health/publications/2011/dwq_guidelines/en/</w:t>
        </w:r>
      </w:hyperlink>
      <w:r w:rsidRPr="007A3A68">
        <w:rPr>
          <w:sz w:val="16"/>
          <w:szCs w:val="16"/>
        </w:rPr>
        <w:t>)</w:t>
      </w:r>
    </w:p>
    <w:p w14:paraId="5E3212F0" w14:textId="77777777" w:rsidR="00B75B55" w:rsidRPr="007A3A68" w:rsidRDefault="00B75B55" w:rsidP="00B75B55">
      <w:pPr>
        <w:spacing w:after="0" w:afterAutospacing="0" w:line="240" w:lineRule="auto"/>
        <w:rPr>
          <w:rFonts w:ascii="Tw Cen MT" w:hAnsi="Tw Cen MT" w:cs="Arial"/>
          <w:sz w:val="16"/>
          <w:szCs w:val="16"/>
        </w:rPr>
      </w:pPr>
      <w:r w:rsidRPr="007A3A68">
        <w:rPr>
          <w:rFonts w:ascii="Tw Cen MT" w:hAnsi="Tw Cen MT" w:cs="Arial"/>
          <w:sz w:val="16"/>
          <w:szCs w:val="16"/>
        </w:rPr>
        <w:t>World Health Organization. WHO International Scheme to Evaluate Household Water Treatment Technologies. Geneva: WHO; 2016 (</w:t>
      </w:r>
      <w:hyperlink r:id="rId6" w:history="1">
        <w:r w:rsidRPr="007A3A68">
          <w:rPr>
            <w:rStyle w:val="Hyperlink"/>
            <w:rFonts w:ascii="Tw Cen MT" w:hAnsi="Tw Cen MT" w:cs="Arial"/>
            <w:sz w:val="16"/>
            <w:szCs w:val="16"/>
          </w:rPr>
          <w:t>http://www.who.int/household_water/scheme/household-water-treatment-report-round-1/en/</w:t>
        </w:r>
      </w:hyperlink>
      <w:r w:rsidRPr="007A3A68">
        <w:rPr>
          <w:sz w:val="16"/>
          <w:szCs w:val="16"/>
        </w:rPr>
        <w:t>)</w:t>
      </w:r>
    </w:p>
    <w:p w14:paraId="7C12C886" w14:textId="560DB002" w:rsidR="00086D78" w:rsidRPr="007A3A68" w:rsidRDefault="00B75B55" w:rsidP="00B75B55">
      <w:pPr>
        <w:autoSpaceDE w:val="0"/>
        <w:autoSpaceDN w:val="0"/>
        <w:adjustRightInd w:val="0"/>
        <w:spacing w:after="0" w:afterAutospacing="0" w:line="240" w:lineRule="auto"/>
        <w:rPr>
          <w:sz w:val="16"/>
          <w:szCs w:val="16"/>
        </w:rPr>
      </w:pPr>
      <w:r w:rsidRPr="007A3A68">
        <w:rPr>
          <w:rFonts w:ascii="Tw Cen MT" w:hAnsi="Tw Cen MT" w:cs="Arial"/>
          <w:sz w:val="16"/>
          <w:szCs w:val="16"/>
        </w:rPr>
        <w:t>OXFAM. Technical Brief – Household water treatment and Storage. 2007 (</w:t>
      </w:r>
      <w:hyperlink r:id="rId7" w:history="1">
        <w:r w:rsidRPr="007A3A68">
          <w:rPr>
            <w:rStyle w:val="Hyperlink"/>
            <w:rFonts w:ascii="Tw Cen MT" w:hAnsi="Tw Cen MT" w:cs="Arial"/>
            <w:sz w:val="16"/>
            <w:szCs w:val="16"/>
          </w:rPr>
          <w:t>https://supplycentre.oxfam.org.uk/water-treatment-11-c.asp</w:t>
        </w:r>
      </w:hyperlink>
      <w:r w:rsidRPr="007A3A68">
        <w:rPr>
          <w:sz w:val="16"/>
          <w:szCs w:val="16"/>
        </w:rPr>
        <w:t>)</w:t>
      </w:r>
    </w:p>
    <w:sectPr w:rsidR="00086D78" w:rsidRPr="007A3A68" w:rsidSect="00D529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BSVQG+CourierNewPSMT">
    <w:altName w:val="Calibri"/>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1E1E"/>
    <w:multiLevelType w:val="singleLevel"/>
    <w:tmpl w:val="6316B714"/>
    <w:lvl w:ilvl="0">
      <w:start w:val="1"/>
      <w:numFmt w:val="decimal"/>
      <w:lvlText w:val="%1."/>
      <w:lvlJc w:val="left"/>
      <w:pPr>
        <w:tabs>
          <w:tab w:val="num" w:pos="360"/>
        </w:tabs>
        <w:ind w:left="360" w:hanging="360"/>
      </w:pPr>
    </w:lvl>
  </w:abstractNum>
  <w:abstractNum w:abstractNumId="1" w15:restartNumberingAfterBreak="0">
    <w:nsid w:val="06687B2E"/>
    <w:multiLevelType w:val="hybridMultilevel"/>
    <w:tmpl w:val="C78846A0"/>
    <w:lvl w:ilvl="0" w:tplc="7E621E12">
      <w:start w:val="6"/>
      <w:numFmt w:val="bullet"/>
      <w:lvlText w:val="-"/>
      <w:lvlJc w:val="left"/>
      <w:pPr>
        <w:ind w:left="360" w:hanging="360"/>
      </w:pPr>
      <w:rPr>
        <w:rFonts w:ascii="Courier New" w:eastAsiaTheme="minorHAnsi"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78"/>
    <w:rsid w:val="00006CD2"/>
    <w:rsid w:val="00011BB0"/>
    <w:rsid w:val="00086D78"/>
    <w:rsid w:val="0011145D"/>
    <w:rsid w:val="001226B7"/>
    <w:rsid w:val="00180CB7"/>
    <w:rsid w:val="001C5AD2"/>
    <w:rsid w:val="00221F7A"/>
    <w:rsid w:val="00383565"/>
    <w:rsid w:val="00485124"/>
    <w:rsid w:val="005B4924"/>
    <w:rsid w:val="0063115B"/>
    <w:rsid w:val="00636671"/>
    <w:rsid w:val="00652A58"/>
    <w:rsid w:val="0065457E"/>
    <w:rsid w:val="006E51AD"/>
    <w:rsid w:val="00720353"/>
    <w:rsid w:val="00755302"/>
    <w:rsid w:val="007A3A68"/>
    <w:rsid w:val="00840033"/>
    <w:rsid w:val="00970026"/>
    <w:rsid w:val="00A20A07"/>
    <w:rsid w:val="00A954FF"/>
    <w:rsid w:val="00B35D80"/>
    <w:rsid w:val="00B75B55"/>
    <w:rsid w:val="00BF1653"/>
    <w:rsid w:val="00CA461F"/>
    <w:rsid w:val="00D001FF"/>
    <w:rsid w:val="00D30AE0"/>
    <w:rsid w:val="00D34A0C"/>
    <w:rsid w:val="00D37140"/>
    <w:rsid w:val="00D51E26"/>
    <w:rsid w:val="00D52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BDC4"/>
  <w15:chartTrackingRefBased/>
  <w15:docId w15:val="{AC12E72F-192F-447F-B9BB-E90C2C4F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imes New Roman"/>
        <w:sz w:val="22"/>
        <w:szCs w:val="24"/>
        <w:lang w:val="en-GB" w:eastAsia="en-US" w:bidi="ar-SA"/>
      </w:rPr>
    </w:rPrDefault>
    <w:pPrDefault>
      <w:pPr>
        <w:spacing w:after="100" w:afterAutospacing="1"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0CB7"/>
    <w:rPr>
      <w:sz w:val="16"/>
      <w:szCs w:val="16"/>
    </w:rPr>
  </w:style>
  <w:style w:type="paragraph" w:styleId="CommentText">
    <w:name w:val="annotation text"/>
    <w:basedOn w:val="Normal"/>
    <w:link w:val="CommentTextChar"/>
    <w:uiPriority w:val="99"/>
    <w:semiHidden/>
    <w:unhideWhenUsed/>
    <w:rsid w:val="00180CB7"/>
    <w:pPr>
      <w:spacing w:line="240" w:lineRule="auto"/>
    </w:pPr>
    <w:rPr>
      <w:sz w:val="20"/>
      <w:szCs w:val="20"/>
    </w:rPr>
  </w:style>
  <w:style w:type="character" w:customStyle="1" w:styleId="CommentTextChar">
    <w:name w:val="Comment Text Char"/>
    <w:basedOn w:val="DefaultParagraphFont"/>
    <w:link w:val="CommentText"/>
    <w:uiPriority w:val="99"/>
    <w:semiHidden/>
    <w:rsid w:val="00180CB7"/>
    <w:rPr>
      <w:sz w:val="20"/>
      <w:szCs w:val="20"/>
    </w:rPr>
  </w:style>
  <w:style w:type="paragraph" w:styleId="CommentSubject">
    <w:name w:val="annotation subject"/>
    <w:basedOn w:val="CommentText"/>
    <w:next w:val="CommentText"/>
    <w:link w:val="CommentSubjectChar"/>
    <w:uiPriority w:val="99"/>
    <w:semiHidden/>
    <w:unhideWhenUsed/>
    <w:rsid w:val="00180CB7"/>
    <w:rPr>
      <w:b/>
      <w:bCs/>
    </w:rPr>
  </w:style>
  <w:style w:type="character" w:customStyle="1" w:styleId="CommentSubjectChar">
    <w:name w:val="Comment Subject Char"/>
    <w:basedOn w:val="CommentTextChar"/>
    <w:link w:val="CommentSubject"/>
    <w:uiPriority w:val="99"/>
    <w:semiHidden/>
    <w:rsid w:val="00180CB7"/>
    <w:rPr>
      <w:b/>
      <w:bCs/>
      <w:sz w:val="20"/>
      <w:szCs w:val="20"/>
    </w:rPr>
  </w:style>
  <w:style w:type="paragraph" w:styleId="BalloonText">
    <w:name w:val="Balloon Text"/>
    <w:basedOn w:val="Normal"/>
    <w:link w:val="BalloonTextChar"/>
    <w:uiPriority w:val="99"/>
    <w:semiHidden/>
    <w:unhideWhenUsed/>
    <w:rsid w:val="00180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CB7"/>
    <w:rPr>
      <w:rFonts w:ascii="Segoe UI" w:hAnsi="Segoe UI" w:cs="Segoe UI"/>
      <w:sz w:val="18"/>
      <w:szCs w:val="18"/>
    </w:rPr>
  </w:style>
  <w:style w:type="table" w:styleId="PlainTable1">
    <w:name w:val="Plain Table 1"/>
    <w:basedOn w:val="TableNormal"/>
    <w:uiPriority w:val="41"/>
    <w:rsid w:val="00006C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006C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6">
    <w:name w:val="Grid Table 5 Dark Accent 6"/>
    <w:basedOn w:val="TableNormal"/>
    <w:uiPriority w:val="50"/>
    <w:rsid w:val="00006C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basedOn w:val="Normal"/>
    <w:link w:val="ListParagraphChar"/>
    <w:uiPriority w:val="34"/>
    <w:qFormat/>
    <w:rsid w:val="00652A58"/>
    <w:pPr>
      <w:spacing w:after="0" w:afterAutospacing="0" w:line="240" w:lineRule="auto"/>
      <w:ind w:left="720"/>
      <w:contextualSpacing/>
      <w:jc w:val="left"/>
    </w:pPr>
    <w:rPr>
      <w:rFonts w:ascii="Times New Roman" w:hAnsi="Times New Roman"/>
      <w:sz w:val="24"/>
      <w:lang w:eastAsia="en-GB"/>
    </w:rPr>
  </w:style>
  <w:style w:type="character" w:customStyle="1" w:styleId="ListParagraphChar">
    <w:name w:val="List Paragraph Char"/>
    <w:basedOn w:val="DefaultParagraphFont"/>
    <w:link w:val="ListParagraph"/>
    <w:uiPriority w:val="34"/>
    <w:locked/>
    <w:rsid w:val="00652A58"/>
    <w:rPr>
      <w:rFonts w:ascii="Times New Roman" w:hAnsi="Times New Roman"/>
      <w:sz w:val="24"/>
      <w:lang w:eastAsia="en-GB"/>
    </w:rPr>
  </w:style>
  <w:style w:type="character" w:styleId="Hyperlink">
    <w:name w:val="Hyperlink"/>
    <w:basedOn w:val="DefaultParagraphFont"/>
    <w:uiPriority w:val="99"/>
    <w:unhideWhenUsed/>
    <w:rsid w:val="00652A58"/>
    <w:rPr>
      <w:color w:val="0000FF"/>
      <w:u w:val="single"/>
    </w:rPr>
  </w:style>
  <w:style w:type="table" w:styleId="PlainTable5">
    <w:name w:val="Plain Table 5"/>
    <w:basedOn w:val="TableNormal"/>
    <w:uiPriority w:val="45"/>
    <w:rsid w:val="00652A58"/>
    <w:pPr>
      <w:spacing w:after="0" w:afterAutospacing="0" w:line="240" w:lineRule="auto"/>
      <w:jc w:val="left"/>
    </w:pPr>
    <w:rPr>
      <w:rFonts w:ascii="Garamond" w:hAnsi="Garamond"/>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7A3A68"/>
    <w:pPr>
      <w:autoSpaceDE w:val="0"/>
      <w:autoSpaceDN w:val="0"/>
      <w:adjustRightInd w:val="0"/>
      <w:spacing w:after="0" w:afterAutospacing="0" w:line="240" w:lineRule="auto"/>
      <w:jc w:val="left"/>
    </w:pPr>
    <w:rPr>
      <w:rFonts w:ascii="FBSVQG+CourierNewPSMT" w:hAnsi="FBSVQG+CourierNewPSMT" w:cs="FBSVQG+CourierNewPSM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lycentre.oxfam.org.uk/water-treatment-11-c.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household_water/scheme/household-water-treatment-report-round-1/en/" TargetMode="External"/><Relationship Id="rId5" Type="http://schemas.openxmlformats.org/officeDocument/2006/relationships/hyperlink" Target="http://www.who.int/water_sanitation_health/publications/2011/dwq_guidelines/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dc:creator>
  <cp:keywords/>
  <dc:description/>
  <cp:lastModifiedBy>CN</cp:lastModifiedBy>
  <cp:revision>21</cp:revision>
  <cp:lastPrinted>2019-03-06T17:36:00Z</cp:lastPrinted>
  <dcterms:created xsi:type="dcterms:W3CDTF">2017-10-13T10:02:00Z</dcterms:created>
  <dcterms:modified xsi:type="dcterms:W3CDTF">2019-03-06T17:43:00Z</dcterms:modified>
</cp:coreProperties>
</file>